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18272921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“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2B2F7B">
        <w:rPr>
          <w:rFonts w:ascii="Sylfaen" w:hAnsi="Sylfaen"/>
          <w:b/>
          <w:noProof/>
          <w:sz w:val="24"/>
          <w:szCs w:val="24"/>
          <w:lang w:val="ka-GE"/>
        </w:rPr>
        <w:t>გათბობა, გაგრილება, ვე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ნტილაციის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12C7B29A" w:rsidR="002B2F7B" w:rsidRDefault="002B2F7B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თბილისი, </w:t>
      </w:r>
      <w:r w:rsidR="00BE0805">
        <w:rPr>
          <w:rFonts w:ascii="Sylfaen" w:hAnsi="Sylfaen"/>
          <w:b/>
          <w:noProof/>
          <w:lang w:val="ka-GE"/>
        </w:rPr>
        <w:t xml:space="preserve">მურმან ლებანიძის </w:t>
      </w:r>
      <w:r w:rsidR="00925F2E">
        <w:rPr>
          <w:rFonts w:ascii="Sylfaen" w:hAnsi="Sylfaen"/>
          <w:b/>
          <w:noProof/>
          <w:lang w:val="ka-GE"/>
        </w:rPr>
        <w:t xml:space="preserve">ქ. </w:t>
      </w:r>
      <w:r w:rsidR="00BE0805">
        <w:rPr>
          <w:rFonts w:ascii="Sylfaen" w:hAnsi="Sylfaen"/>
          <w:b/>
          <w:noProof/>
          <w:lang w:val="ka-GE"/>
        </w:rPr>
        <w:t xml:space="preserve">#19 </w:t>
      </w:r>
      <w:r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7DC18CD" w:rsidR="00936829" w:rsidRPr="007D0A7E" w:rsidRDefault="004A7C31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7BD2254B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ბანკის“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(</w:t>
      </w:r>
      <w:r w:rsidR="0061361A" w:rsidRPr="0061361A">
        <w:rPr>
          <w:rFonts w:ascii="Sylfaen" w:hAnsi="Sylfaen"/>
          <w:noProof/>
          <w:lang w:val="ka-GE"/>
        </w:rPr>
        <w:t xml:space="preserve">ქ. თბილისი, </w:t>
      </w:r>
      <w:r w:rsidR="00A30C6E">
        <w:rPr>
          <w:rFonts w:ascii="Sylfaen" w:hAnsi="Sylfaen"/>
          <w:noProof/>
          <w:lang w:val="ka-GE"/>
        </w:rPr>
        <w:t>მურმან ლებანიძის ქ.</w:t>
      </w:r>
      <w:r w:rsidR="00872FCA">
        <w:rPr>
          <w:rFonts w:ascii="Sylfaen" w:hAnsi="Sylfaen"/>
          <w:noProof/>
          <w:lang w:val="ka-GE"/>
        </w:rPr>
        <w:t xml:space="preserve"> </w:t>
      </w:r>
      <w:r w:rsidR="00840BFF">
        <w:rPr>
          <w:rFonts w:ascii="Sylfaen" w:hAnsi="Sylfaen"/>
          <w:noProof/>
          <w:lang w:val="ka-GE"/>
        </w:rPr>
        <w:t>#19</w:t>
      </w:r>
      <w:r w:rsidR="00A22972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140530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61361A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61361A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თანდართული </w:t>
      </w:r>
      <w:r w:rsidR="00A9089D">
        <w:rPr>
          <w:rFonts w:ascii="Sylfaen" w:hAnsi="Sylfaen"/>
          <w:noProof/>
          <w:lang w:val="ka-GE"/>
        </w:rPr>
        <w:t xml:space="preserve">ხარჯთაღრიცხვის </w:t>
      </w:r>
      <w:r w:rsidR="008B7B2A">
        <w:rPr>
          <w:rFonts w:ascii="Sylfaen" w:hAnsi="Sylfaen"/>
          <w:noProof/>
          <w:lang w:val="ka-GE"/>
        </w:rPr>
        <w:t xml:space="preserve">და საპროექტო </w:t>
      </w:r>
      <w:r w:rsidR="00EB0CA7">
        <w:rPr>
          <w:rFonts w:ascii="Sylfaen" w:hAnsi="Sylfaen"/>
          <w:noProof/>
          <w:lang w:val="ka-GE"/>
        </w:rPr>
        <w:t xml:space="preserve">დოკუმენტაციის </w:t>
      </w:r>
      <w:r w:rsidR="00826DB4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3D41C7A7" w14:textId="03F1E393" w:rsidR="00B964FA" w:rsidRPr="00534D41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 w:rsidR="00A22972"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 w:rsidR="00A22972"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 ლოტშიც;</w:t>
      </w:r>
    </w:p>
    <w:p w14:paraId="1F952032" w14:textId="77777777" w:rsidR="00B964FA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07551C4F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221F76">
        <w:rPr>
          <w:lang w:val="ka-GE"/>
        </w:rPr>
        <w:t xml:space="preserve"> 2019-2020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5032A86D" w14:textId="68C8C70C" w:rsidR="00E22B33" w:rsidRPr="00534D41" w:rsidRDefault="006773DA" w:rsidP="00480AB1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>3.2</w:t>
      </w:r>
      <w:r w:rsidR="00E22B33" w:rsidRPr="00CA5509">
        <w:rPr>
          <w:rFonts w:ascii="Sylfaen" w:hAnsi="Sylfaen"/>
          <w:b/>
          <w:lang w:val="ka-GE"/>
        </w:rPr>
        <w:t xml:space="preserve"> </w:t>
      </w:r>
      <w:r w:rsidR="00E22B33" w:rsidRPr="00534D41">
        <w:rPr>
          <w:rFonts w:ascii="Sylfaen" w:hAnsi="Sylfaen" w:cs="Times New Roman"/>
          <w:b/>
          <w:lang w:val="ka-GE"/>
        </w:rPr>
        <w:t xml:space="preserve">სამუშაო უნდა შესრულდეს მაღალი ხარისხით,  გამოცდილი მაღალკვალიფიცირებული პერსონალის მიერ. </w:t>
      </w:r>
      <w:r w:rsidR="00E22B33" w:rsidRPr="00534D41">
        <w:rPr>
          <w:rFonts w:ascii="Sylfaen" w:hAnsi="Sylfaen" w:cs="Times New Roman"/>
          <w:b/>
          <w:color w:val="FF0000"/>
          <w:lang w:val="ka-GE"/>
        </w:rPr>
        <w:t xml:space="preserve">ძირითადი კონტრაქტორის საყურადღებოდ ! </w:t>
      </w:r>
      <w:r w:rsidR="00E22B33" w:rsidRPr="00534D41">
        <w:rPr>
          <w:rFonts w:ascii="Sylfaen" w:hAnsi="Sylfaen" w:cs="Times New Roman"/>
          <w:b/>
          <w:lang w:val="ka-GE"/>
        </w:rPr>
        <w:t>სამუშაოს წარმოებისთვის ქვეკონტრაქტორის შერჩევისას პრიორიტეტი მიენიჭება ბაზარზე არსებულ ლიცენზირებულ და ამ ბიზნესში მომუშავე მაღალკვალიფიცირებულ,  გამოცდილ კომპანიებს.</w:t>
      </w:r>
    </w:p>
    <w:p w14:paraId="6CA2B44A" w14:textId="77777777" w:rsidR="00E22B33" w:rsidRPr="00E951DC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10851C53" w:rsidR="00987E30" w:rsidRDefault="00987E30" w:rsidP="00480AB1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64DF4761" w:rsidR="00987E30" w:rsidRDefault="00987E30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="006C2870">
        <w:rPr>
          <w:rFonts w:ascii="Sylfaen" w:hAnsi="Sylfaen"/>
          <w:lang w:val="ka-GE"/>
        </w:rPr>
        <w:t>.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3E20BE">
        <w:rPr>
          <w:rFonts w:ascii="Sylfaen" w:hAnsi="Sylfaen"/>
          <w:lang w:val="ka-GE"/>
        </w:rPr>
        <w:t>ფორმა #</w:t>
      </w:r>
      <w:r w:rsidR="00A77238" w:rsidRPr="009F6311">
        <w:rPr>
          <w:rFonts w:ascii="Sylfaen" w:hAnsi="Sylfaen"/>
          <w:lang w:val="ka-GE"/>
        </w:rPr>
        <w:t>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="00743E85">
        <w:rPr>
          <w:rFonts w:ascii="Sylfaen" w:hAnsi="Sylfaen"/>
          <w:lang w:val="ka-GE"/>
        </w:rPr>
        <w:t xml:space="preserve">, აგრეთვე </w:t>
      </w:r>
      <w:r w:rsidRPr="009F6311">
        <w:rPr>
          <w:rFonts w:ascii="Sylfaen" w:hAnsi="Sylfaen"/>
          <w:lang w:val="ka-GE"/>
        </w:rPr>
        <w:t>საგადასახადო ანგარიშ-ფაქტური</w:t>
      </w:r>
      <w:r w:rsidR="00743E85">
        <w:rPr>
          <w:rFonts w:ascii="Sylfaen" w:hAnsi="Sylfaen"/>
          <w:lang w:val="ka-GE"/>
        </w:rPr>
        <w:t>ს წარმოდგენიდან 10 სამუშაო დღის ვადაში.</w:t>
      </w:r>
      <w:r w:rsidR="001C1833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273F8140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>
        <w:rPr>
          <w:rFonts w:ascii="Sylfaen" w:hAnsi="Sylfaen" w:cs="Sylfaen"/>
          <w:b/>
          <w:lang w:val="ka-GE"/>
        </w:rPr>
        <w:t>(დანართი #</w:t>
      </w:r>
      <w:r w:rsidR="00955971">
        <w:rPr>
          <w:rFonts w:ascii="Sylfaen" w:hAnsi="Sylfaen" w:cs="Sylfaen"/>
          <w:b/>
          <w:lang w:val="ka-GE"/>
        </w:rPr>
        <w:t>1</w:t>
      </w:r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E60E825" w14:textId="0BA8F1E1" w:rsidR="00FA1A23" w:rsidRPr="00E951DC" w:rsidRDefault="00D22AC5" w:rsidP="00480AB1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E951DC">
        <w:rPr>
          <w:rFonts w:ascii="Sylfaen" w:hAnsi="Sylfaen" w:cs="Sylfaen"/>
          <w:b/>
          <w:lang w:val="ka-GE"/>
        </w:rPr>
        <w:t>5.4</w:t>
      </w:r>
      <w:r w:rsidR="00CF5670">
        <w:rPr>
          <w:rFonts w:ascii="Sylfaen" w:hAnsi="Sylfaen" w:cs="Sylfaen"/>
          <w:b/>
          <w:lang w:val="ka-GE"/>
        </w:rPr>
        <w:t>.</w:t>
      </w:r>
      <w:r w:rsidRPr="00E951DC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12ED26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22 თებერვალი,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4D664747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725F68" w:rsidRPr="00373D12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F95B66" w:rsidRPr="00091620">
          <w:rPr>
            <w:rStyle w:val="Hyperlink"/>
            <w:lang w:val="ka-GE"/>
          </w:rPr>
          <w:t>Giorgi.Anjaparidze@lb.ge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881CD7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6524B5C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F517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881CD7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881CD7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881CD7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932"/>
    <w:rsid w:val="00471E42"/>
    <w:rsid w:val="004720CD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40AB"/>
    <w:rsid w:val="0051535C"/>
    <w:rsid w:val="005154DB"/>
    <w:rsid w:val="005156B4"/>
    <w:rsid w:val="00516E8F"/>
    <w:rsid w:val="00520783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4EADB7-0559-4DBC-827D-008FDFAF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471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616</cp:revision>
  <cp:lastPrinted>2019-08-19T11:24:00Z</cp:lastPrinted>
  <dcterms:created xsi:type="dcterms:W3CDTF">2017-01-27T10:48:00Z</dcterms:created>
  <dcterms:modified xsi:type="dcterms:W3CDTF">2021-02-15T13:54:00Z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